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6" w:after="6"/>
        <w:rPr>
          <w:rFonts w:ascii="Century Gothic" w:hAnsi="Century Gothic"/>
          <w:b/>
        </w:rPr>
      </w:pPr>
    </w:p>
    <w:p>
      <w:pPr>
        <w:spacing w:before="6" w:after="6"/>
        <w:rPr>
          <w:rFonts w:ascii="Century Gothic" w:hAnsi="Century Gothic"/>
          <w:b/>
        </w:rPr>
      </w:pPr>
      <w:r>
        <w:rPr>
          <w:rFonts w:ascii="Century Gothic" w:hAnsi="Century Gothic"/>
          <w:b/>
        </w:rPr>
        <w:t>MEDIA RELEASE</w:t>
      </w:r>
    </w:p>
    <w:p>
      <w:pPr>
        <w:spacing w:before="6" w:after="6"/>
        <w:rPr>
          <w:rFonts w:ascii="Century Gothic" w:hAnsi="Century Gothic"/>
        </w:rPr>
      </w:pPr>
      <w:r>
        <w:rPr>
          <w:rFonts w:ascii="Century Gothic" w:hAnsi="Century Gothic"/>
          <w:i/>
        </w:rPr>
        <w:t>For immediate release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November 2015</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pPr>
        <w:spacing w:before="120" w:line="360" w:lineRule="auto"/>
        <w:jc w:val="center"/>
        <w:rPr>
          <w:rFonts w:ascii="AvantGarde" w:hAnsi="AvantGarde"/>
          <w:b/>
          <w:bCs/>
          <w:color w:val="012169"/>
          <w:sz w:val="24"/>
          <w:szCs w:val="24"/>
        </w:rPr>
      </w:pPr>
      <w:r>
        <w:rPr>
          <w:rFonts w:ascii="AvantGarde" w:hAnsi="AvantGarde"/>
          <w:b/>
          <w:bCs/>
          <w:color w:val="012169"/>
          <w:sz w:val="24"/>
          <w:szCs w:val="24"/>
        </w:rPr>
        <w:t>Secret assets every property investor should know about</w:t>
      </w:r>
    </w:p>
    <w:p>
      <w:pPr>
        <w:rPr>
          <w:rFonts w:ascii="Century Gothic" w:hAnsi="Century Gothic"/>
          <w:sz w:val="20"/>
          <w:szCs w:val="20"/>
        </w:rPr>
      </w:pPr>
      <w:r>
        <w:rPr>
          <w:rFonts w:ascii="Century Gothic" w:hAnsi="Century Gothic"/>
          <w:sz w:val="20"/>
          <w:szCs w:val="20"/>
        </w:rPr>
        <w:t>Analysis by BMT Tax Depreciation, Australia’s leading supplier of depreciation schedules, shows that ducted air conditioners, floating timber floors and solar power systems are the assets that generally have the highest depreciable value for property investors.</w:t>
      </w:r>
    </w:p>
    <w:p>
      <w:pPr>
        <w:rPr>
          <w:rFonts w:ascii="Century Gothic" w:hAnsi="Century Gothic"/>
          <w:sz w:val="20"/>
          <w:szCs w:val="20"/>
        </w:rPr>
      </w:pPr>
      <w:r>
        <w:rPr>
          <w:rFonts w:ascii="Century Gothic" w:hAnsi="Century Gothic"/>
          <w:sz w:val="20"/>
          <w:szCs w:val="20"/>
        </w:rPr>
        <w:t xml:space="preserve"> “Based on our experience preparing thousands of property depreciation schedules, we have found that these assets will average a combined depreciable value of approximately $27,000 in a residential property,” said BMT Chief Executive Officer, Bradley Beer.</w:t>
      </w:r>
    </w:p>
    <w:p>
      <w:pPr>
        <w:rPr>
          <w:rFonts w:ascii="Century Gothic" w:hAnsi="Century Gothic"/>
          <w:sz w:val="20"/>
          <w:szCs w:val="20"/>
        </w:rPr>
      </w:pPr>
      <w:r>
        <w:rPr>
          <w:rFonts w:ascii="Century Gothic" w:hAnsi="Century Gothic"/>
          <w:sz w:val="20"/>
          <w:szCs w:val="20"/>
        </w:rPr>
        <w:t xml:space="preserve"> “In the first financial year alone, these three items could result in about $3,400 in deductions for the owner,” said Bradley Beer. </w:t>
      </w:r>
    </w:p>
    <w:p>
      <w:pPr>
        <w:rPr>
          <w:rFonts w:ascii="Century Gothic" w:hAnsi="Century Gothic"/>
          <w:sz w:val="20"/>
          <w:szCs w:val="20"/>
        </w:rPr>
      </w:pPr>
      <w:r>
        <w:rPr>
          <w:rFonts w:ascii="Century Gothic" w:hAnsi="Century Gothic"/>
          <w:sz w:val="20"/>
          <w:szCs w:val="20"/>
        </w:rPr>
        <w:t>While these assets generally result in the highest depreciation deductions for property owners, there are other items that BMT find more frequently.</w:t>
      </w:r>
    </w:p>
    <w:p>
      <w:pPr>
        <w:rPr>
          <w:rFonts w:ascii="Century Gothic" w:hAnsi="Century Gothic"/>
          <w:sz w:val="20"/>
          <w:szCs w:val="20"/>
        </w:rPr>
      </w:pPr>
      <w:r>
        <w:rPr>
          <w:rFonts w:ascii="Century Gothic" w:hAnsi="Century Gothic"/>
          <w:sz w:val="20"/>
          <w:szCs w:val="20"/>
        </w:rPr>
        <w:t xml:space="preserve"> “The three depreciable assets we find most often during a site inspection are hot water systems, split system air conditioners and bathroom accessories,” said Bradley Beer. </w:t>
      </w:r>
    </w:p>
    <w:p>
      <w:pPr>
        <w:rPr>
          <w:rFonts w:ascii="Century Gothic" w:hAnsi="Century Gothic"/>
          <w:sz w:val="20"/>
          <w:szCs w:val="20"/>
        </w:rPr>
      </w:pPr>
      <w:r>
        <w:rPr>
          <w:rFonts w:ascii="Century Gothic" w:hAnsi="Century Gothic"/>
          <w:sz w:val="20"/>
          <w:szCs w:val="20"/>
        </w:rPr>
        <w:t xml:space="preserve">“We find that these assets have a combined average depreciable value of around $5,000. </w:t>
      </w:r>
    </w:p>
    <w:p>
      <w:pPr>
        <w:rPr>
          <w:rFonts w:ascii="Century Gothic" w:hAnsi="Century Gothic"/>
          <w:sz w:val="20"/>
          <w:szCs w:val="20"/>
        </w:rPr>
      </w:pPr>
      <w:r>
        <w:rPr>
          <w:rFonts w:ascii="Century Gothic" w:hAnsi="Century Gothic"/>
          <w:sz w:val="20"/>
          <w:szCs w:val="20"/>
        </w:rPr>
        <w:t xml:space="preserve">“For an investor, these three items could result in a first financial year deduction of $1,100 and a cumulative deduction of around $3,500 over five years,” said Bradley Beer. </w:t>
      </w:r>
    </w:p>
    <w:p>
      <w:pPr>
        <w:rPr>
          <w:rFonts w:ascii="Century Gothic" w:hAnsi="Century Gothic"/>
          <w:sz w:val="20"/>
          <w:szCs w:val="20"/>
        </w:rPr>
      </w:pPr>
      <w:r>
        <w:rPr>
          <w:rFonts w:ascii="Century Gothic" w:hAnsi="Century Gothic"/>
          <w:sz w:val="20"/>
          <w:szCs w:val="20"/>
        </w:rPr>
        <w:t>There are also a number of assets investors easily miss and fail to maximise depreciation deductions for, including smoke alarms, garbage bins and exhaust fans.</w:t>
      </w:r>
    </w:p>
    <w:p>
      <w:pPr>
        <w:rPr>
          <w:rFonts w:ascii="Century Gothic" w:hAnsi="Century Gothic"/>
          <w:sz w:val="20"/>
          <w:szCs w:val="20"/>
        </w:rPr>
      </w:pPr>
      <w:r>
        <w:rPr>
          <w:rFonts w:ascii="Century Gothic" w:hAnsi="Century Gothic"/>
          <w:sz w:val="20"/>
          <w:szCs w:val="20"/>
        </w:rPr>
        <w:t xml:space="preserve"> “The depreciable value of these items will usually total $1,200 and as these smaller ticket items are often valued less than $300 each, they could also entitle their owner to claim the full amount as an immediate write-off in the first financial year,” said Bradley Beer. </w:t>
      </w:r>
      <w:r>
        <w:rPr>
          <w:rFonts w:ascii="Century Gothic" w:hAnsi="Century Gothic"/>
          <w:sz w:val="20"/>
          <w:szCs w:val="20"/>
        </w:rPr>
        <w:br/>
      </w:r>
      <w:r>
        <w:rPr>
          <w:rFonts w:ascii="Century Gothic" w:hAnsi="Century Gothic"/>
          <w:sz w:val="20"/>
          <w:szCs w:val="20"/>
        </w:rPr>
        <w:br/>
        <w:t xml:space="preserve">“The deductions for assets found in an investment property add up and it pays for an investor to understand how depreciation works and which items can be depreciated. </w:t>
      </w:r>
    </w:p>
    <w:p>
      <w:pPr>
        <w:rPr>
          <w:rFonts w:ascii="Century Gothic" w:hAnsi="Century Gothic"/>
          <w:sz w:val="20"/>
          <w:szCs w:val="20"/>
        </w:rPr>
      </w:pPr>
      <w:r>
        <w:rPr>
          <w:rFonts w:ascii="Century Gothic" w:hAnsi="Century Gothic"/>
          <w:sz w:val="20"/>
          <w:szCs w:val="20"/>
        </w:rPr>
        <w:t xml:space="preserve">“When preparing a depreciation schedule for a property investor, specialist Quantity Surveyors will complete a detailed site inspection to ensure that no assets are missed. This will ensure the depreciation deductions for the owners are maximised,” said Bradley Beer. </w:t>
      </w:r>
      <w:r>
        <w:rPr>
          <w:rFonts w:ascii="Century Gothic" w:hAnsi="Century Gothic"/>
          <w:sz w:val="20"/>
          <w:szCs w:val="20"/>
        </w:rPr>
        <w:br/>
      </w:r>
      <w:r>
        <w:rPr>
          <w:rFonts w:ascii="Century Gothic" w:hAnsi="Century Gothic"/>
          <w:sz w:val="20"/>
          <w:szCs w:val="20"/>
        </w:rPr>
        <w:br/>
        <w:t xml:space="preserve">Investors can search and find out the depreciation rate and effective life of any depreciable asset </w:t>
      </w:r>
      <w:r>
        <w:rPr>
          <w:rFonts w:ascii="Century Gothic" w:hAnsi="Century Gothic"/>
          <w:sz w:val="20"/>
          <w:szCs w:val="20"/>
        </w:rPr>
        <w:lastRenderedPageBreak/>
        <w:t xml:space="preserve">found in an investment property by downloading BMT’s </w:t>
      </w:r>
      <w:proofErr w:type="spellStart"/>
      <w:r>
        <w:rPr>
          <w:rFonts w:ascii="Century Gothic" w:hAnsi="Century Gothic"/>
          <w:sz w:val="20"/>
          <w:szCs w:val="20"/>
        </w:rPr>
        <w:t>Resi</w:t>
      </w:r>
      <w:proofErr w:type="spellEnd"/>
      <w:r>
        <w:rPr>
          <w:rFonts w:ascii="Century Gothic" w:hAnsi="Century Gothic"/>
          <w:sz w:val="20"/>
          <w:szCs w:val="20"/>
        </w:rPr>
        <w:t xml:space="preserve"> Rates app from the App Store</w:t>
      </w:r>
      <w:r>
        <w:rPr>
          <w:rFonts w:ascii="Century Gothic" w:hAnsi="Century Gothic"/>
          <w:sz w:val="20"/>
          <w:szCs w:val="20"/>
        </w:rPr>
        <w:t xml:space="preserve"> </w:t>
      </w:r>
      <w:r>
        <w:rPr>
          <w:rFonts w:ascii="Century Gothic" w:hAnsi="Century Gothic"/>
          <w:sz w:val="20"/>
          <w:szCs w:val="20"/>
        </w:rPr>
        <w:t>for iPhone and iPad, Google Play for Android devices or use Rate</w:t>
      </w:r>
      <w:r>
        <w:rPr>
          <w:rFonts w:ascii="Century Gothic" w:hAnsi="Century Gothic"/>
          <w:sz w:val="20"/>
          <w:szCs w:val="20"/>
        </w:rPr>
        <w:t xml:space="preserve"> </w:t>
      </w:r>
      <w:r>
        <w:rPr>
          <w:rFonts w:ascii="Century Gothic" w:hAnsi="Century Gothic"/>
          <w:sz w:val="20"/>
          <w:szCs w:val="20"/>
        </w:rPr>
        <w:t>Finder online</w:t>
      </w:r>
      <w:r>
        <w:rPr>
          <w:rFonts w:ascii="Century Gothic" w:hAnsi="Century Gothic"/>
          <w:sz w:val="20"/>
          <w:szCs w:val="20"/>
        </w:rPr>
        <w:t xml:space="preserve"> at </w:t>
      </w:r>
      <w:r>
        <w:rPr>
          <w:rStyle w:val="Hyperlink"/>
          <w:rFonts w:ascii="Century Gothic" w:hAnsi="Century Gothic"/>
          <w:sz w:val="20"/>
          <w:szCs w:val="20"/>
        </w:rPr>
        <w:t>bmtqs.com.au/rate-finder</w:t>
      </w:r>
      <w:r>
        <w:rPr>
          <w:rFonts w:ascii="Century Gothic" w:hAnsi="Century Gothic"/>
          <w:sz w:val="20"/>
          <w:szCs w:val="20"/>
        </w:rPr>
        <w:t xml:space="preserve"> </w:t>
      </w:r>
      <w:r>
        <w:rPr>
          <w:rFonts w:ascii="Century Gothic" w:hAnsi="Century Gothic"/>
          <w:sz w:val="20"/>
          <w:szCs w:val="20"/>
        </w:rPr>
        <w:t>today.</w:t>
      </w:r>
    </w:p>
    <w:p>
      <w:pPr>
        <w:spacing w:before="120" w:line="360" w:lineRule="auto"/>
        <w:jc w:val="both"/>
        <w:rPr>
          <w:rFonts w:ascii="Century Gothic" w:hAnsi="Century Gothic"/>
          <w:sz w:val="2"/>
        </w:rPr>
      </w:pPr>
    </w:p>
    <w:p>
      <w:pPr>
        <w:pStyle w:val="ListParagraph"/>
        <w:numPr>
          <w:ilvl w:val="0"/>
          <w:numId w:val="1"/>
        </w:numPr>
        <w:spacing w:before="120" w:after="120" w:line="360" w:lineRule="auto"/>
        <w:rPr>
          <w:rFonts w:ascii="Century Gothic" w:hAnsi="Century Gothic"/>
          <w:b/>
          <w:bCs/>
        </w:rPr>
      </w:pPr>
      <w:r>
        <w:rPr>
          <w:rFonts w:ascii="Century Gothic" w:hAnsi="Century Gothic"/>
          <w:b/>
          <w:bCs/>
        </w:rPr>
        <w:t xml:space="preserve">ENDS </w:t>
      </w:r>
      <w:r>
        <w:rPr>
          <w:rFonts w:ascii="Century Gothic" w:hAnsi="Century Gothic"/>
          <w:bCs/>
        </w:rPr>
        <w:t xml:space="preserve">- </w:t>
      </w:r>
    </w:p>
    <w:p>
      <w:pPr>
        <w:rPr>
          <w:rStyle w:val="Hyperlink"/>
          <w:rFonts w:ascii="Century Gothic" w:hAnsi="Century Gothic"/>
          <w:color w:val="000000" w:themeColor="text1"/>
        </w:rPr>
      </w:pPr>
      <w:r>
        <w:rPr>
          <w:rFonts w:ascii="Century Gothic" w:hAnsi="Century Gothic"/>
          <w:b/>
        </w:rPr>
        <w:br/>
        <w:t>Media contact:</w:t>
      </w:r>
      <w:r>
        <w:rPr>
          <w:rFonts w:ascii="Century Gothic" w:hAnsi="Century Gothic"/>
        </w:rPr>
        <w:t xml:space="preserve"> Brad Beer, 0413 271 777, </w:t>
      </w:r>
      <w:hyperlink r:id="rId8" w:history="1">
        <w:r>
          <w:rPr>
            <w:rStyle w:val="Hyperlink"/>
            <w:rFonts w:ascii="Century Gothic" w:hAnsi="Century Gothic"/>
          </w:rPr>
          <w:t>brad.beer@bmtnews.com.au</w:t>
        </w:r>
      </w:hyperlink>
      <w:r>
        <w:rPr>
          <w:rFonts w:ascii="Century Gothic" w:hAnsi="Century Gothic"/>
        </w:rPr>
        <w:br/>
      </w:r>
    </w:p>
    <w:p>
      <w:pPr>
        <w:spacing w:after="0"/>
        <w:rPr>
          <w:rStyle w:val="Hyperlink"/>
          <w:rFonts w:ascii="Century Gothic" w:hAnsi="Century Gothic"/>
          <w:b/>
          <w:color w:val="000000" w:themeColor="text1"/>
        </w:rPr>
      </w:pPr>
      <w:r>
        <w:rPr>
          <w:rStyle w:val="Hyperlink"/>
          <w:rFonts w:ascii="Century Gothic" w:hAnsi="Century Gothic"/>
          <w:b/>
          <w:color w:val="000000" w:themeColor="text1"/>
        </w:rPr>
        <w:t>About BMT Tax Depreciation</w:t>
      </w:r>
      <w:r>
        <w:rPr>
          <w:rStyle w:val="Hyperlink"/>
          <w:rFonts w:ascii="Century Gothic" w:hAnsi="Century Gothic"/>
          <w:b/>
          <w:color w:val="000000" w:themeColor="text1"/>
        </w:rPr>
        <w:br/>
      </w:r>
    </w:p>
    <w:p>
      <w:pPr>
        <w:spacing w:line="360" w:lineRule="auto"/>
        <w:jc w:val="both"/>
        <w:rPr>
          <w:rFonts w:ascii="Century Gothic" w:hAnsi="Century Gothic"/>
          <w:color w:val="000000" w:themeColor="text1"/>
        </w:rPr>
      </w:pPr>
      <w:r>
        <w:rPr>
          <w:rStyle w:val="Hyperlink"/>
          <w:rFonts w:ascii="Century Gothic" w:hAnsi="Century Gothic"/>
          <w:color w:val="000000" w:themeColor="text1"/>
          <w:sz w:val="20"/>
          <w:szCs w:val="20"/>
        </w:rPr>
        <w:t xml:space="preserve">BMT </w:t>
      </w:r>
      <w:r>
        <w:rPr>
          <w:rFonts w:ascii="Century Gothic" w:hAnsi="Century Gothic"/>
          <w:sz w:val="20"/>
          <w:szCs w:val="20"/>
        </w:rPr>
        <w:t xml:space="preserve">Tax Depreciation (BMT) </w:t>
      </w:r>
      <w:r>
        <w:rPr>
          <w:rStyle w:val="Hyperlink"/>
          <w:rFonts w:ascii="Century Gothic" w:hAnsi="Century Gothic"/>
          <w:color w:val="000000" w:themeColor="text1"/>
          <w:sz w:val="20"/>
          <w:szCs w:val="20"/>
        </w:rPr>
        <w:t>is a Quantity Surveying com</w:t>
      </w:r>
      <w:bookmarkStart w:id="0" w:name="_GoBack"/>
      <w:bookmarkEnd w:id="0"/>
      <w:r>
        <w:rPr>
          <w:rStyle w:val="Hyperlink"/>
          <w:rFonts w:ascii="Century Gothic" w:hAnsi="Century Gothic"/>
          <w:color w:val="000000" w:themeColor="text1"/>
          <w:sz w:val="20"/>
          <w:szCs w:val="20"/>
        </w:rPr>
        <w:t>pany specialising in the provision of tax depreciation schedules for residential and commercial investment properties. Commencing business in 1997</w:t>
      </w:r>
      <w:r>
        <w:rPr>
          <w:rFonts w:ascii="Century Gothic" w:hAnsi="Century Gothic"/>
          <w:sz w:val="20"/>
          <w:szCs w:val="20"/>
        </w:rPr>
        <w:t>, demand from property investors nationally has seen business expand Australia-wide with offices now located in Sydney, Parramatta, Melbourne, Brisbane, Newcastle, Adelaide, Perth, Gold Coast, Cairns, Canberra, Hobart and Darwin.</w:t>
      </w:r>
    </w:p>
    <w:sectPr>
      <w:headerReference w:type="default" r:id="rId9"/>
      <w:footerReference w:type="default" r:id="rId10"/>
      <w:pgSz w:w="12240" w:h="15840"/>
      <w:pgMar w:top="0" w:right="1183" w:bottom="709" w:left="1134" w:header="708" w:footer="1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vantGarde">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ind w:right="-142"/>
      <w:jc w:val="right"/>
      <w:rPr>
        <w:noProof/>
        <w:lang w:eastAsia="en-AU"/>
      </w:rPr>
    </w:pPr>
  </w:p>
  <w:p>
    <w:pPr>
      <w:ind w:right="-142"/>
      <w:jc w:val="right"/>
      <w:rPr>
        <w:noProof/>
        <w:lang w:eastAsia="en-AU"/>
      </w:rPr>
    </w:pPr>
    <w:r>
      <w:rPr>
        <w:noProof/>
        <w:lang w:eastAsia="en-AU"/>
      </w:rPr>
      <w:drawing>
        <wp:inline distT="0" distB="0" distL="0" distR="0">
          <wp:extent cx="6293796" cy="1254868"/>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ic Letterhead Image.jpg"/>
                  <pic:cNvPicPr/>
                </pic:nvPicPr>
                <pic:blipFill rotWithShape="1">
                  <a:blip r:embed="rId1">
                    <a:extLst>
                      <a:ext uri="{28A0092B-C50C-407E-A947-70E740481C1C}">
                        <a14:useLocalDpi xmlns:a14="http://schemas.microsoft.com/office/drawing/2010/main" val="0"/>
                      </a:ext>
                    </a:extLst>
                  </a:blip>
                  <a:srcRect t="16216" b="14046"/>
                  <a:stretch/>
                </pic:blipFill>
                <pic:spPr bwMode="auto">
                  <a:xfrm>
                    <a:off x="0" y="0"/>
                    <a:ext cx="6301105" cy="1256325"/>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AU"/>
      </w:rPr>
      <w:t xml:space="preserve"> </w:t>
    </w:r>
    <w:r>
      <w:rPr>
        <w:noProof/>
        <w:lang w:eastAsia="en-AU"/>
      </w:rPr>
      <mc:AlternateContent>
        <mc:Choice Requires="wps">
          <w:drawing>
            <wp:anchor distT="4294967295" distB="4294967295" distL="114300" distR="114300" simplePos="0" relativeHeight="251659264" behindDoc="0" locked="0" layoutInCell="1" allowOverlap="1">
              <wp:simplePos x="0" y="0"/>
              <wp:positionH relativeFrom="column">
                <wp:posOffset>-73660</wp:posOffset>
              </wp:positionH>
              <wp:positionV relativeFrom="paragraph">
                <wp:posOffset>-50166</wp:posOffset>
              </wp:positionV>
              <wp:extent cx="6412865" cy="0"/>
              <wp:effectExtent l="0" t="19050" r="698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2865"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pt,-3.95pt" to="499.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" strokecolor="#1f497d [3215]" strokeweight="2.25pt">
              <o:lock v:ext="edit" shapetype="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tabs>
        <w:tab w:val="clear" w:pos="4320"/>
        <w:tab w:val="clear" w:pos="8640"/>
      </w:tabs>
      <w:jc w:val="center"/>
    </w:pPr>
    <w:r>
      <w:rPr>
        <w:noProof/>
        <w:lang w:eastAsia="en-AU"/>
      </w:rPr>
      <w:drawing>
        <wp:inline distT="0" distB="0" distL="0" distR="0">
          <wp:extent cx="2660400" cy="723600"/>
          <wp:effectExtent l="0" t="0" r="698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MT Tax Depreciation.jpg"/>
                  <pic:cNvPicPr/>
                </pic:nvPicPr>
                <pic:blipFill rotWithShape="1">
                  <a:blip r:embed="rId1">
                    <a:extLst>
                      <a:ext uri="{28A0092B-C50C-407E-A947-70E740481C1C}">
                        <a14:useLocalDpi xmlns:a14="http://schemas.microsoft.com/office/drawing/2010/main" val="0"/>
                      </a:ext>
                    </a:extLst>
                  </a:blip>
                  <a:srcRect l="6697" r="4910"/>
                  <a:stretch/>
                </pic:blipFill>
                <pic:spPr bwMode="auto">
                  <a:xfrm>
                    <a:off x="0" y="0"/>
                    <a:ext cx="2660400" cy="7236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28656B"/>
    <w:multiLevelType w:val="hybridMultilevel"/>
    <w:tmpl w:val="C7824F54"/>
    <w:lvl w:ilvl="0" w:tplc="9D10F5AE">
      <w:numFmt w:val="bullet"/>
      <w:lvlText w:val="-"/>
      <w:lvlJc w:val="left"/>
      <w:pPr>
        <w:ind w:left="420" w:hanging="360"/>
      </w:pPr>
      <w:rPr>
        <w:rFonts w:ascii="Century Gothic" w:eastAsia="Calibri" w:hAnsi="Century Gothic"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5:docId w15:val="{F6F982C4-E3C7-4923-A800-FA53C3FB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AU"/>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lang w:val="en-AU"/>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lang w:val="en-AU"/>
    </w:rPr>
  </w:style>
  <w:style w:type="character" w:styleId="Emphasis">
    <w:name w:val="Emphasis"/>
    <w:basedOn w:val="DefaultParagraphFont"/>
    <w:uiPriority w:val="20"/>
    <w:qFormat/>
    <w:locked/>
    <w:rPr>
      <w:b/>
      <w:bCs/>
      <w:i w:val="0"/>
      <w:iCs w:val="0"/>
    </w:rPr>
  </w:style>
  <w:style w:type="paragraph" w:styleId="PlainText">
    <w:name w:val="Plain Text"/>
    <w:basedOn w:val="Normal"/>
    <w:link w:val="PlainTextChar"/>
    <w:uiPriority w:val="99"/>
    <w:unhideWhenUsed/>
    <w:pPr>
      <w:spacing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Pr>
      <w:rFonts w:ascii="Consolas" w:eastAsiaTheme="minorHAnsi" w:hAnsi="Consolas" w:cs="Consolas"/>
      <w:sz w:val="21"/>
      <w:szCs w:val="21"/>
      <w:lang w:val="en-AU"/>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eastAsia="en-AU"/>
    </w:rPr>
  </w:style>
  <w:style w:type="character" w:styleId="Hyperlink">
    <w:name w:val="Hyperlink"/>
    <w:basedOn w:val="DefaultParagraphFont"/>
    <w:uiPriority w:val="99"/>
    <w:unhideWhenUsed/>
    <w:rPr>
      <w:strike w:val="0"/>
      <w:dstrike w:val="0"/>
      <w:color w:val="00548C"/>
      <w:u w:val="none"/>
      <w:effect w:val="none"/>
    </w:rPr>
  </w:style>
  <w:style w:type="character" w:styleId="Strong">
    <w:name w:val="Strong"/>
    <w:basedOn w:val="DefaultParagraphFont"/>
    <w:uiPriority w:val="22"/>
    <w:qFormat/>
    <w:locked/>
    <w:rPr>
      <w:b/>
      <w:bCs/>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basedOn w:val="DefaultParagraphFont"/>
    <w:link w:val="FootnoteText"/>
    <w:uiPriority w:val="99"/>
    <w:semiHidden/>
    <w:rPr>
      <w:sz w:val="20"/>
      <w:szCs w:val="20"/>
      <w:lang w:val="en-AU"/>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A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AU"/>
    </w:rPr>
  </w:style>
  <w:style w:type="paragraph" w:styleId="ListParagraph">
    <w:name w:val="List Paragraph"/>
    <w:basedOn w:val="Normal"/>
    <w:uiPriority w:val="34"/>
    <w:qFormat/>
    <w:pPr>
      <w:spacing w:after="0"/>
      <w:ind w:left="720"/>
    </w:pPr>
    <w:rPr>
      <w:rFonts w:eastAsiaTheme="minorHAnsi"/>
    </w:rPr>
  </w:style>
  <w:style w:type="paragraph" w:customStyle="1" w:styleId="answer">
    <w:name w:val="answer"/>
    <w:basedOn w:val="Normal"/>
    <w:pPr>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70504">
      <w:bodyDiv w:val="1"/>
      <w:marLeft w:val="0"/>
      <w:marRight w:val="0"/>
      <w:marTop w:val="0"/>
      <w:marBottom w:val="0"/>
      <w:divBdr>
        <w:top w:val="none" w:sz="0" w:space="0" w:color="auto"/>
        <w:left w:val="none" w:sz="0" w:space="0" w:color="auto"/>
        <w:bottom w:val="none" w:sz="0" w:space="0" w:color="auto"/>
        <w:right w:val="none" w:sz="0" w:space="0" w:color="auto"/>
      </w:divBdr>
    </w:div>
    <w:div w:id="479228983">
      <w:bodyDiv w:val="1"/>
      <w:marLeft w:val="0"/>
      <w:marRight w:val="0"/>
      <w:marTop w:val="0"/>
      <w:marBottom w:val="0"/>
      <w:divBdr>
        <w:top w:val="none" w:sz="0" w:space="0" w:color="auto"/>
        <w:left w:val="none" w:sz="0" w:space="0" w:color="auto"/>
        <w:bottom w:val="none" w:sz="0" w:space="0" w:color="auto"/>
        <w:right w:val="none" w:sz="0" w:space="0" w:color="auto"/>
      </w:divBdr>
    </w:div>
    <w:div w:id="592519745">
      <w:bodyDiv w:val="1"/>
      <w:marLeft w:val="0"/>
      <w:marRight w:val="0"/>
      <w:marTop w:val="0"/>
      <w:marBottom w:val="0"/>
      <w:divBdr>
        <w:top w:val="none" w:sz="0" w:space="0" w:color="auto"/>
        <w:left w:val="none" w:sz="0" w:space="0" w:color="auto"/>
        <w:bottom w:val="none" w:sz="0" w:space="0" w:color="auto"/>
        <w:right w:val="none" w:sz="0" w:space="0" w:color="auto"/>
      </w:divBdr>
    </w:div>
    <w:div w:id="819270170">
      <w:bodyDiv w:val="1"/>
      <w:marLeft w:val="0"/>
      <w:marRight w:val="0"/>
      <w:marTop w:val="0"/>
      <w:marBottom w:val="0"/>
      <w:divBdr>
        <w:top w:val="none" w:sz="0" w:space="0" w:color="auto"/>
        <w:left w:val="none" w:sz="0" w:space="0" w:color="auto"/>
        <w:bottom w:val="none" w:sz="0" w:space="0" w:color="auto"/>
        <w:right w:val="none" w:sz="0" w:space="0" w:color="auto"/>
      </w:divBdr>
    </w:div>
    <w:div w:id="889148040">
      <w:bodyDiv w:val="1"/>
      <w:marLeft w:val="0"/>
      <w:marRight w:val="0"/>
      <w:marTop w:val="0"/>
      <w:marBottom w:val="0"/>
      <w:divBdr>
        <w:top w:val="none" w:sz="0" w:space="0" w:color="auto"/>
        <w:left w:val="none" w:sz="0" w:space="0" w:color="auto"/>
        <w:bottom w:val="none" w:sz="0" w:space="0" w:color="auto"/>
        <w:right w:val="none" w:sz="0" w:space="0" w:color="auto"/>
      </w:divBdr>
    </w:div>
    <w:div w:id="937755084">
      <w:bodyDiv w:val="1"/>
      <w:marLeft w:val="0"/>
      <w:marRight w:val="0"/>
      <w:marTop w:val="0"/>
      <w:marBottom w:val="0"/>
      <w:divBdr>
        <w:top w:val="none" w:sz="0" w:space="0" w:color="auto"/>
        <w:left w:val="none" w:sz="0" w:space="0" w:color="auto"/>
        <w:bottom w:val="none" w:sz="0" w:space="0" w:color="auto"/>
        <w:right w:val="none" w:sz="0" w:space="0" w:color="auto"/>
      </w:divBdr>
    </w:div>
    <w:div w:id="967859330">
      <w:bodyDiv w:val="1"/>
      <w:marLeft w:val="0"/>
      <w:marRight w:val="0"/>
      <w:marTop w:val="0"/>
      <w:marBottom w:val="0"/>
      <w:divBdr>
        <w:top w:val="none" w:sz="0" w:space="0" w:color="auto"/>
        <w:left w:val="none" w:sz="0" w:space="0" w:color="auto"/>
        <w:bottom w:val="none" w:sz="0" w:space="0" w:color="auto"/>
        <w:right w:val="none" w:sz="0" w:space="0" w:color="auto"/>
      </w:divBdr>
    </w:div>
    <w:div w:id="108830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d.beer@bmtnews.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CB9F1-4CA6-4335-A95E-96192D395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457</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Rani Bonwick</cp:lastModifiedBy>
  <cp:revision>3</cp:revision>
  <cp:lastPrinted>2014-03-13T22:19:00Z</cp:lastPrinted>
  <dcterms:created xsi:type="dcterms:W3CDTF">2015-11-17T22:56:00Z</dcterms:created>
  <dcterms:modified xsi:type="dcterms:W3CDTF">2015-11-17T23:01:00Z</dcterms:modified>
</cp:coreProperties>
</file>